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F02F9" w:rsidRDefault="00312DE5" w:rsidP="001321E1">
      <w:pPr>
        <w:ind w:left="708" w:hanging="708"/>
        <w:jc w:val="center"/>
        <w:rPr>
          <w:rFonts w:ascii="Arial" w:hAnsi="Arial" w:cs="Arial"/>
          <w:b/>
        </w:rPr>
      </w:pPr>
      <w:bookmarkStart w:id="0" w:name="_GoBack"/>
      <w:bookmarkEnd w:id="0"/>
      <w:r w:rsidRPr="00FF02F9">
        <w:rPr>
          <w:rFonts w:ascii="Arial" w:hAnsi="Arial" w:cs="Arial"/>
          <w:b/>
        </w:rPr>
        <w:t>B A S E S</w:t>
      </w:r>
    </w:p>
    <w:p w:rsidR="00AC2105" w:rsidRPr="001321E1" w:rsidRDefault="00AC2105" w:rsidP="001321E1">
      <w:pPr>
        <w:jc w:val="center"/>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53D0D">
        <w:rPr>
          <w:rFonts w:ascii="Arial" w:hAnsi="Arial" w:cs="Arial"/>
          <w:b/>
        </w:rPr>
        <w:t>00</w:t>
      </w:r>
      <w:r w:rsidR="0016664C">
        <w:rPr>
          <w:rFonts w:ascii="Arial" w:hAnsi="Arial" w:cs="Arial"/>
          <w:b/>
        </w:rPr>
        <w:t>1</w:t>
      </w:r>
      <w:r w:rsidR="003139E6" w:rsidRPr="00FF02F9">
        <w:rPr>
          <w:rFonts w:ascii="Arial" w:hAnsi="Arial" w:cs="Arial"/>
          <w:b/>
        </w:rPr>
        <w:t>-201</w:t>
      </w:r>
      <w:r w:rsidR="0016664C">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 xml:space="preserve">54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842B3A" w:rsidRPr="00FF02F9" w:rsidRDefault="00842B3A" w:rsidP="001321E1">
      <w:pPr>
        <w:jc w:val="both"/>
        <w:rPr>
          <w:rFonts w:ascii="Arial" w:hAnsi="Arial" w:cs="Arial"/>
          <w:lang w:val="es-ES_tradnl"/>
        </w:rPr>
      </w:pPr>
    </w:p>
    <w:p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rsidR="001E3A18" w:rsidRPr="001E3A18" w:rsidRDefault="001E3A18" w:rsidP="001E3A18">
      <w:pPr>
        <w:jc w:val="both"/>
        <w:rPr>
          <w:rFonts w:ascii="Arial" w:hAnsi="Arial" w:cs="Arial"/>
          <w:b/>
          <w:lang w:val="es-ES_tradnl"/>
        </w:rPr>
      </w:pPr>
    </w:p>
    <w:p w:rsidR="001E29D2" w:rsidRPr="001E29D2" w:rsidRDefault="001E3A18" w:rsidP="001E3A18">
      <w:pPr>
        <w:jc w:val="both"/>
        <w:rPr>
          <w:rFonts w:ascii="Arial" w:hAnsi="Arial" w:cs="Arial"/>
          <w:lang w:val="es-ES_tradnl"/>
        </w:rPr>
      </w:pPr>
      <w:r w:rsidRPr="001E3A18">
        <w:rPr>
          <w:rFonts w:ascii="Arial" w:hAnsi="Arial" w:cs="Arial"/>
          <w:lang w:val="es-ES_tradnl"/>
        </w:rPr>
        <w:t>La adquis</w:t>
      </w:r>
      <w:r w:rsidRPr="00D55D30">
        <w:rPr>
          <w:rFonts w:ascii="Arial" w:hAnsi="Arial" w:cs="Arial"/>
          <w:sz w:val="22"/>
          <w:szCs w:val="22"/>
          <w:lang w:val="es-ES_tradnl"/>
        </w:rPr>
        <w:t>ición</w:t>
      </w:r>
      <w:r w:rsidRPr="001E29D2">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CB3E4D" w:rsidRPr="00CB3E4D">
        <w:rPr>
          <w:rFonts w:ascii="Arial" w:hAnsi="Arial"/>
          <w:lang w:val="es-MX"/>
        </w:rPr>
        <w:t>984</w:t>
      </w:r>
      <w:r w:rsidR="00CB3E4D">
        <w:rPr>
          <w:rFonts w:ascii="Arial" w:hAnsi="Arial"/>
          <w:b/>
          <w:lang w:val="es-MX"/>
        </w:rPr>
        <w:t xml:space="preserve"> </w:t>
      </w:r>
      <w:r w:rsidR="001E29D2" w:rsidRPr="001E29D2">
        <w:rPr>
          <w:rFonts w:ascii="Arial" w:hAnsi="Arial"/>
          <w:lang w:val="es-MX"/>
        </w:rPr>
        <w:t>partidas de</w:t>
      </w:r>
      <w:r w:rsidR="001E29D2" w:rsidRPr="001E29D2">
        <w:rPr>
          <w:rFonts w:ascii="Arial" w:hAnsi="Arial"/>
          <w:b/>
          <w:lang w:val="es-MX"/>
        </w:rPr>
        <w:t xml:space="preserve"> </w:t>
      </w:r>
      <w:r w:rsidR="001E29D2" w:rsidRPr="001E29D2">
        <w:rPr>
          <w:rFonts w:ascii="Arial" w:hAnsi="Arial"/>
          <w:lang w:val="es-MX"/>
        </w:rPr>
        <w:t>medicamentos y productos farmacéuticos</w:t>
      </w:r>
      <w:r w:rsidR="001E29D2" w:rsidRPr="001E29D2">
        <w:rPr>
          <w:rFonts w:ascii="Arial" w:hAnsi="Arial" w:cs="Arial"/>
        </w:rPr>
        <w:t>, se adjudicará por partida sobre la base de un precio unitario y cuyas 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rsidR="001E29D2" w:rsidRPr="001E29D2" w:rsidRDefault="001E29D2" w:rsidP="001E29D2">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01</w:t>
      </w:r>
      <w:r w:rsidR="00025760">
        <w:rPr>
          <w:rFonts w:ascii="Arial" w:hAnsi="Arial" w:cs="Arial"/>
        </w:rPr>
        <w:t>9</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3631C6">
        <w:rPr>
          <w:rFonts w:ascii="Arial" w:hAnsi="Arial" w:cs="Arial"/>
        </w:rPr>
        <w:t>el artículo</w:t>
      </w:r>
      <w:r w:rsidR="00355585" w:rsidRPr="00355585">
        <w:rPr>
          <w:rFonts w:ascii="Arial" w:hAnsi="Arial" w:cs="Arial"/>
        </w:rPr>
        <w:t xml:space="preserve"> 83 </w:t>
      </w:r>
      <w:r w:rsidRPr="001E29D2">
        <w:rPr>
          <w:rFonts w:ascii="Arial" w:hAnsi="Arial" w:cs="Arial"/>
        </w:rPr>
        <w:t xml:space="preserve">de la Ley de Adquisiciones, Arrendamientos y Contratación de Servicios del Estado de Chihuahua.   </w:t>
      </w:r>
    </w:p>
    <w:p w:rsidR="001E29D2" w:rsidRPr="001E29D2" w:rsidRDefault="001E29D2" w:rsidP="001E29D2">
      <w:pPr>
        <w:tabs>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rPr>
        <w:t>No se aceptarán productos en empaque o presentación del sector salud, ni de los denominados similares.</w:t>
      </w: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29D2" w:rsidRDefault="004B6773"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Pr="001E29D2" w:rsidRDefault="001E29D2" w:rsidP="001E29D2">
      <w:pPr>
        <w:jc w:val="both"/>
        <w:rPr>
          <w:rFonts w:ascii="Tahoma" w:hAnsi="Tahoma" w:cs="Tahoma"/>
          <w:lang w:val="es-ES_tradnl"/>
        </w:rPr>
      </w:pPr>
      <w:r w:rsidRPr="001E29D2">
        <w:rPr>
          <w:rFonts w:ascii="Arial" w:hAnsi="Arial"/>
        </w:rPr>
        <w:t>E</w:t>
      </w:r>
      <w:r w:rsidRPr="001E29D2">
        <w:rPr>
          <w:rFonts w:ascii="Arial" w:hAnsi="Arial"/>
          <w:lang w:val="es-ES_tradnl"/>
        </w:rPr>
        <w:t xml:space="preserve">l costo de participación es de </w:t>
      </w:r>
      <w:r w:rsidRPr="006866E8">
        <w:rPr>
          <w:rFonts w:ascii="Arial" w:hAnsi="Arial"/>
          <w:lang w:val="es-ES_tradnl"/>
        </w:rPr>
        <w:t>$</w:t>
      </w:r>
      <w:r w:rsidR="002F7379" w:rsidRPr="006866E8">
        <w:rPr>
          <w:rFonts w:ascii="Arial" w:hAnsi="Arial"/>
          <w:lang w:val="es-ES_tradnl"/>
        </w:rPr>
        <w:t>3</w:t>
      </w:r>
      <w:r w:rsidRPr="006866E8">
        <w:rPr>
          <w:rFonts w:ascii="Arial" w:hAnsi="Arial"/>
          <w:lang w:val="es-ES_tradnl"/>
        </w:rPr>
        <w:t>,</w:t>
      </w:r>
      <w:r w:rsidR="002F7379" w:rsidRPr="006866E8">
        <w:rPr>
          <w:rFonts w:ascii="Arial" w:hAnsi="Arial"/>
          <w:lang w:val="es-ES_tradnl"/>
        </w:rPr>
        <w:t>0</w:t>
      </w:r>
      <w:r w:rsidRPr="006866E8">
        <w:rPr>
          <w:rFonts w:ascii="Arial" w:hAnsi="Arial"/>
          <w:lang w:val="es-ES_tradnl"/>
        </w:rPr>
        <w:t>00.00 (</w:t>
      </w:r>
      <w:r w:rsidR="002F7379" w:rsidRPr="006866E8">
        <w:rPr>
          <w:rFonts w:ascii="Arial" w:hAnsi="Arial"/>
          <w:lang w:val="es-ES_tradnl"/>
        </w:rPr>
        <w:t>tres mil</w:t>
      </w:r>
      <w:r w:rsidRPr="006866E8">
        <w:rPr>
          <w:rFonts w:ascii="Arial" w:hAnsi="Arial"/>
          <w:lang w:val="es-ES_tradnl"/>
        </w:rPr>
        <w:t xml:space="preserve"> pesos 00/100 M.N.)</w:t>
      </w:r>
      <w:r w:rsidRPr="001E29D2">
        <w:rPr>
          <w:rFonts w:ascii="Arial" w:hAnsi="Arial"/>
          <w:lang w:val="es-ES_tradnl"/>
        </w:rPr>
        <w:t xml:space="preserve"> y deberá pagarse </w:t>
      </w:r>
      <w:r w:rsidR="00680B45">
        <w:rPr>
          <w:rFonts w:ascii="Arial" w:hAnsi="Arial"/>
          <w:lang w:val="es-ES_tradnl"/>
        </w:rPr>
        <w:t xml:space="preserve">con cheque certificado a favor </w:t>
      </w:r>
      <w:r w:rsidRPr="00680B45">
        <w:rPr>
          <w:rFonts w:ascii="Arial" w:hAnsi="Arial"/>
          <w:color w:val="000000" w:themeColor="text1"/>
          <w:lang w:val="es-ES_tradnl"/>
        </w:rPr>
        <w:t>de Pensiones Civiles del Estado de Chihuahua,</w:t>
      </w:r>
      <w:r w:rsidRPr="002F7379">
        <w:rPr>
          <w:rFonts w:ascii="Arial" w:hAnsi="Arial"/>
          <w:color w:val="FF0000"/>
          <w:lang w:val="es-ES_tradnl"/>
        </w:rPr>
        <w:t xml:space="preserve"> </w:t>
      </w:r>
      <w:r w:rsidRPr="00680B45">
        <w:rPr>
          <w:rFonts w:ascii="Arial" w:hAnsi="Arial"/>
          <w:color w:val="000000" w:themeColor="text1"/>
          <w:lang w:val="es-ES_tradnl"/>
        </w:rPr>
        <w:t>en el Departamento de Tesorería</w:t>
      </w:r>
      <w:r w:rsidRPr="002F7379">
        <w:rPr>
          <w:rFonts w:ascii="Arial" w:hAnsi="Arial"/>
          <w:color w:val="FF0000"/>
          <w:lang w:val="es-ES_tradnl"/>
        </w:rPr>
        <w:t xml:space="preserve"> </w:t>
      </w:r>
      <w:r w:rsidRPr="001E29D2">
        <w:rPr>
          <w:rFonts w:ascii="Arial" w:hAnsi="Arial"/>
          <w:lang w:val="es-ES_tradnl"/>
        </w:rPr>
        <w:t>ubicado en la planta baja del edificio antes señalado</w:t>
      </w:r>
      <w:r w:rsidRPr="001E29D2">
        <w:rPr>
          <w:rFonts w:ascii="Tahoma" w:hAnsi="Tahoma" w:cs="Tahoma"/>
          <w:lang w:val="es-ES_tradnl"/>
        </w:rPr>
        <w:t>,</w:t>
      </w:r>
      <w:r w:rsidRPr="001E29D2">
        <w:rPr>
          <w:rFonts w:ascii="Arial" w:hAnsi="Arial"/>
        </w:rPr>
        <w:t xml:space="preserve"> en días hábiles a partir  de la fecha de publicación y hasta el día </w:t>
      </w:r>
      <w:r w:rsidR="00CB3E4D">
        <w:rPr>
          <w:rFonts w:ascii="Arial" w:hAnsi="Arial"/>
        </w:rPr>
        <w:t>7</w:t>
      </w:r>
      <w:r w:rsidRPr="001E29D2">
        <w:rPr>
          <w:rFonts w:ascii="Arial" w:hAnsi="Arial"/>
        </w:rPr>
        <w:t xml:space="preserve"> de </w:t>
      </w:r>
      <w:r w:rsidR="00CB3E4D">
        <w:rPr>
          <w:rFonts w:ascii="Arial" w:hAnsi="Arial"/>
        </w:rPr>
        <w:t>noviembre</w:t>
      </w:r>
      <w:r w:rsidR="004972AA">
        <w:rPr>
          <w:rFonts w:ascii="Arial" w:hAnsi="Arial"/>
        </w:rPr>
        <w:t xml:space="preserve"> </w:t>
      </w:r>
      <w:r w:rsidRPr="001E29D2">
        <w:rPr>
          <w:rFonts w:ascii="Arial" w:hAnsi="Arial"/>
        </w:rPr>
        <w:t>de 2018 con un horario de 9:00 a 14:00 horas</w:t>
      </w:r>
      <w:r w:rsidR="00680B45">
        <w:rPr>
          <w:rFonts w:ascii="Arial" w:hAnsi="Arial"/>
        </w:rPr>
        <w:t>, o bien, mediante depósito bancario en la institución bancaria BBVA Bancomer al número de cuenta clabe 012150004449469010</w:t>
      </w:r>
      <w:r w:rsidR="00026786">
        <w:rPr>
          <w:rFonts w:ascii="Arial" w:hAnsi="Arial"/>
        </w:rPr>
        <w:t xml:space="preserve"> o cuenta número </w:t>
      </w:r>
      <w:r w:rsidR="00026786" w:rsidRPr="00026786">
        <w:rPr>
          <w:rFonts w:ascii="Arial" w:hAnsi="Arial"/>
        </w:rPr>
        <w:t>0444946901</w:t>
      </w:r>
      <w:r w:rsidR="00F05608">
        <w:rPr>
          <w:rFonts w:ascii="Arial" w:hAnsi="Arial"/>
        </w:rPr>
        <w:t>.</w:t>
      </w:r>
      <w:r w:rsidR="00680B45">
        <w:rPr>
          <w:rFonts w:ascii="Arial" w:hAnsi="Arial"/>
        </w:rPr>
        <w:t xml:space="preserve"> </w:t>
      </w:r>
      <w:r w:rsidRPr="001E29D2">
        <w:rPr>
          <w:rFonts w:ascii="Tahoma" w:hAnsi="Tahoma" w:cs="Tahoma"/>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día </w:t>
      </w:r>
      <w:r w:rsidR="00CB3E4D">
        <w:rPr>
          <w:rFonts w:ascii="Arial" w:hAnsi="Arial" w:cs="Arial"/>
        </w:rPr>
        <w:t>7</w:t>
      </w:r>
      <w:r w:rsidR="008E76AA">
        <w:rPr>
          <w:rFonts w:ascii="Arial" w:hAnsi="Arial" w:cs="Arial"/>
        </w:rPr>
        <w:t xml:space="preserve"> de </w:t>
      </w:r>
      <w:r w:rsidR="00CB3E4D">
        <w:rPr>
          <w:rFonts w:ascii="Arial" w:hAnsi="Arial" w:cs="Arial"/>
        </w:rPr>
        <w:t>noviembre</w:t>
      </w:r>
      <w:r w:rsidRPr="001E29D2">
        <w:rPr>
          <w:rFonts w:ascii="Arial" w:hAnsi="Arial" w:cs="Arial"/>
        </w:rPr>
        <w:t xml:space="preserve"> de 2018, en un horario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7C4B39" w:rsidRDefault="001E29D2" w:rsidP="001E29D2">
      <w:pPr>
        <w:jc w:val="both"/>
        <w:rPr>
          <w:rFonts w:ascii="Arial" w:hAnsi="Arial" w:cs="Arial"/>
          <w:sz w:val="8"/>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Pr="001E29D2">
        <w:rPr>
          <w:rFonts w:ascii="Arial" w:hAnsi="Arial" w:cs="Arial"/>
          <w:lang w:val="es-ES_tradn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9730ED" w:rsidRPr="009730ED">
        <w:rPr>
          <w:rFonts w:ascii="Arial" w:hAnsi="Arial" w:cs="Arial"/>
          <w:b/>
        </w:rPr>
        <w:t>23</w:t>
      </w:r>
      <w:r w:rsidRPr="008E548B">
        <w:rPr>
          <w:rFonts w:ascii="Arial" w:hAnsi="Arial" w:cs="Arial"/>
          <w:b/>
        </w:rPr>
        <w:t xml:space="preserve"> </w:t>
      </w:r>
      <w:r w:rsidRPr="001E29D2">
        <w:rPr>
          <w:rFonts w:ascii="Arial" w:hAnsi="Arial" w:cs="Arial"/>
          <w:b/>
        </w:rPr>
        <w:t xml:space="preserve">de </w:t>
      </w:r>
      <w:r w:rsidR="004C6D1C">
        <w:rPr>
          <w:rFonts w:ascii="Arial" w:hAnsi="Arial" w:cs="Arial"/>
          <w:b/>
        </w:rPr>
        <w:t>octubre</w:t>
      </w:r>
      <w:r w:rsidRPr="001E29D2">
        <w:rPr>
          <w:rFonts w:ascii="Arial" w:hAnsi="Arial" w:cs="Arial"/>
          <w:b/>
        </w:rPr>
        <w:t xml:space="preserve"> de 2018</w:t>
      </w:r>
      <w:r w:rsidRPr="001E29D2">
        <w:rPr>
          <w:rFonts w:ascii="Arial" w:hAnsi="Arial" w:cs="Arial"/>
        </w:rPr>
        <w:t xml:space="preserve">, a las </w:t>
      </w:r>
      <w:r w:rsidRPr="001E29D2">
        <w:rPr>
          <w:rFonts w:ascii="Arial" w:hAnsi="Arial" w:cs="Arial"/>
          <w:b/>
        </w:rPr>
        <w:t>1</w:t>
      </w:r>
      <w:r w:rsidR="00437790">
        <w:rPr>
          <w:rFonts w:ascii="Arial" w:hAnsi="Arial" w:cs="Arial"/>
          <w:b/>
        </w:rPr>
        <w:t>7</w:t>
      </w:r>
      <w:r w:rsidRPr="001E29D2">
        <w:rPr>
          <w:rFonts w:ascii="Arial" w:hAnsi="Arial" w:cs="Arial"/>
          <w:b/>
        </w:rPr>
        <w:t>:00 horas</w:t>
      </w:r>
      <w:r w:rsidRPr="001E29D2">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9E679C" w:rsidRPr="00D20936">
          <w:rPr>
            <w:rStyle w:val="Hipervnculo"/>
            <w:rFonts w:ascii="Arial" w:hAnsi="Arial" w:cs="Arial"/>
          </w:rPr>
          <w:t>manuel.hinojos@chihuahua.gob.mx</w:t>
        </w:r>
      </w:hyperlink>
      <w:r w:rsidR="009E679C" w:rsidRPr="00FA582C">
        <w:rPr>
          <w:rFonts w:ascii="Arial" w:hAnsi="Arial" w:cs="Arial"/>
        </w:rPr>
        <w:t>,</w:t>
      </w:r>
      <w:r w:rsidR="009E679C">
        <w:rPr>
          <w:rFonts w:ascii="Arial" w:hAnsi="Arial" w:cs="Arial"/>
        </w:rPr>
        <w:t xml:space="preserve"> </w:t>
      </w:r>
      <w:r w:rsidRPr="001E29D2">
        <w:rPr>
          <w:rFonts w:ascii="Arial" w:hAnsi="Arial" w:cs="Arial"/>
        </w:rPr>
        <w:t xml:space="preserve">con copia al correo </w:t>
      </w:r>
      <w:hyperlink r:id="rId10" w:history="1">
        <w:r w:rsidRPr="00D20936">
          <w:rPr>
            <w:rStyle w:val="Hipervnculo"/>
            <w:rFonts w:ascii="Arial" w:hAnsi="Arial"/>
          </w:rPr>
          <w:t>sandra.pinon@chihuahua.gob.mx</w:t>
        </w:r>
      </w:hyperlink>
      <w:r w:rsidRPr="00FA582C">
        <w:rPr>
          <w:rStyle w:val="Hipervnculo"/>
        </w:rPr>
        <w:t>,</w:t>
      </w:r>
      <w:r w:rsidRPr="001E29D2">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DA612F" w:rsidRPr="00DA612F">
        <w:rPr>
          <w:rFonts w:ascii="Arial" w:hAnsi="Arial" w:cs="Arial"/>
          <w:b/>
        </w:rPr>
        <w:t>8</w:t>
      </w:r>
      <w:r w:rsidR="00B47EE9">
        <w:rPr>
          <w:rFonts w:ascii="Arial" w:hAnsi="Arial" w:cs="Arial"/>
          <w:b/>
        </w:rPr>
        <w:t xml:space="preserve"> de </w:t>
      </w:r>
      <w:r w:rsidR="00DA612F">
        <w:rPr>
          <w:rFonts w:ascii="Arial" w:hAnsi="Arial" w:cs="Arial"/>
          <w:b/>
        </w:rPr>
        <w:t>noviembre</w:t>
      </w:r>
      <w:r w:rsidRPr="001E29D2">
        <w:rPr>
          <w:rFonts w:ascii="Arial" w:hAnsi="Arial" w:cs="Arial"/>
          <w:b/>
        </w:rPr>
        <w:t xml:space="preserve"> de 2018, a las 1</w:t>
      </w:r>
      <w:r w:rsidR="00CE6E8D">
        <w:rPr>
          <w:rFonts w:ascii="Arial" w:hAnsi="Arial" w:cs="Arial"/>
          <w:b/>
        </w:rPr>
        <w:t>0</w:t>
      </w:r>
      <w:r w:rsidRPr="001E29D2">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lastRenderedPageBreak/>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887F36">
        <w:rPr>
          <w:rFonts w:ascii="Arial" w:hAnsi="Arial" w:cs="Arial"/>
        </w:rPr>
        <w:t xml:space="preserve">emisión del fallo, una garantía </w:t>
      </w:r>
      <w:r w:rsidR="00887F36" w:rsidRPr="00887F36">
        <w:rPr>
          <w:rFonts w:ascii="Arial" w:hAnsi="Arial" w:cs="Arial"/>
        </w:rPr>
        <w:t xml:space="preserve">en moneda nacional </w:t>
      </w:r>
      <w:r w:rsidR="009437F8" w:rsidRPr="009437F8">
        <w:rPr>
          <w:rFonts w:ascii="Arial" w:hAnsi="Arial" w:cs="Arial"/>
        </w:rPr>
        <w:t xml:space="preserve">a favor de la Dirección de Finanzas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10% del importe máximo de la propuesta económica, sin incluir el I.V.A., </w:t>
      </w:r>
      <w:r w:rsidRPr="001E29D2">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9437F8" w:rsidRDefault="009437F8"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sidR="002F50E0">
        <w:rPr>
          <w:rFonts w:ascii="Arial" w:hAnsi="Arial" w:cs="Arial"/>
          <w:lang w:val="es-ES_tradnl"/>
        </w:rPr>
        <w:t xml:space="preserve"> no excede de la cantidad de </w:t>
      </w:r>
      <w:r w:rsidR="002F50E0" w:rsidRPr="00BD689A">
        <w:rPr>
          <w:rFonts w:ascii="Arial" w:hAnsi="Arial" w:cs="Arial"/>
          <w:lang w:val="es-ES_tradnl"/>
        </w:rPr>
        <w:t xml:space="preserve">$ </w:t>
      </w:r>
      <w:r w:rsidR="00BD689A" w:rsidRPr="00BD689A">
        <w:rPr>
          <w:rFonts w:ascii="Arial" w:hAnsi="Arial" w:cs="Arial"/>
          <w:lang w:val="es-ES_tradnl"/>
        </w:rPr>
        <w:t>3</w:t>
      </w:r>
      <w:r w:rsidR="004D3FD0">
        <w:rPr>
          <w:rFonts w:ascii="Arial" w:hAnsi="Arial" w:cs="Arial"/>
          <w:lang w:val="es-ES_tradnl"/>
        </w:rPr>
        <w:t>0</w:t>
      </w:r>
      <w:r w:rsidR="00BD689A" w:rsidRPr="00BD689A">
        <w:rPr>
          <w:rFonts w:ascii="Arial" w:hAnsi="Arial" w:cs="Arial"/>
          <w:lang w:val="es-ES_tradnl"/>
        </w:rPr>
        <w:t>0</w:t>
      </w:r>
      <w:r w:rsidRPr="00BD689A">
        <w:rPr>
          <w:rFonts w:ascii="Arial" w:hAnsi="Arial" w:cs="Arial"/>
          <w:lang w:val="es-ES_tradnl"/>
        </w:rPr>
        <w:t>,000.00 (</w:t>
      </w:r>
      <w:r w:rsidR="00BD689A" w:rsidRPr="00BD689A">
        <w:rPr>
          <w:rFonts w:ascii="Arial" w:hAnsi="Arial" w:cs="Arial"/>
          <w:lang w:val="es-ES_tradnl"/>
        </w:rPr>
        <w:t xml:space="preserve">trescientos </w:t>
      </w:r>
      <w:r w:rsidRPr="00BD689A">
        <w:rPr>
          <w:rFonts w:ascii="Arial" w:hAnsi="Arial" w:cs="Arial"/>
          <w:lang w:val="es-ES_tradnl"/>
        </w:rPr>
        <w:t>mil pesos 00/100 M.N.)</w:t>
      </w:r>
      <w:r w:rsidRPr="001E29D2">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w:t>
      </w:r>
      <w:r w:rsidR="002F50E0">
        <w:rPr>
          <w:rFonts w:ascii="Arial" w:hAnsi="Arial" w:cs="Arial"/>
          <w:lang w:val="es-ES_tradnl"/>
        </w:rPr>
        <w:t xml:space="preserve"> el mismo plazo, </w:t>
      </w:r>
      <w:r w:rsidRPr="001E29D2">
        <w:rPr>
          <w:rFonts w:ascii="Arial" w:hAnsi="Arial" w:cs="Arial"/>
          <w:lang w:val="es-ES_tradnl"/>
        </w:rPr>
        <w:t>términos</w:t>
      </w:r>
      <w:r w:rsidR="002F50E0">
        <w:rPr>
          <w:rFonts w:ascii="Arial" w:hAnsi="Arial" w:cs="Arial"/>
          <w:lang w:val="es-ES_tradnl"/>
        </w:rPr>
        <w:t xml:space="preserve"> y</w:t>
      </w:r>
      <w:r w:rsidRPr="001E29D2">
        <w:rPr>
          <w:rFonts w:ascii="Arial" w:hAnsi="Arial" w:cs="Arial"/>
          <w:lang w:val="es-ES_tradnl"/>
        </w:rPr>
        <w:t xml:space="preserve"> porcentaje y antes precisados. </w:t>
      </w: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rsidR="001E29D2" w:rsidRPr="001E29D2" w:rsidRDefault="001E29D2" w:rsidP="001E29D2">
      <w:pPr>
        <w:jc w:val="both"/>
        <w:rPr>
          <w:rFonts w:ascii="Arial" w:hAnsi="Arial" w:cs="Arial"/>
        </w:rPr>
      </w:pPr>
    </w:p>
    <w:p w:rsidR="0005742C" w:rsidRDefault="0005742C" w:rsidP="001E29D2">
      <w:pPr>
        <w:jc w:val="both"/>
        <w:rPr>
          <w:rFonts w:ascii="Arial" w:hAnsi="Arial" w:cs="Arial"/>
        </w:rPr>
      </w:pPr>
      <w:r w:rsidRPr="001E29D2">
        <w:rPr>
          <w:rFonts w:ascii="Arial" w:hAnsi="Arial" w:cs="Arial"/>
        </w:rPr>
        <w:t xml:space="preserve">El licitante que resulte adjudicado deberá constituir y entregar a más tardar dentro de los diez días hábiles siguientes a la </w:t>
      </w:r>
      <w:r>
        <w:rPr>
          <w:rFonts w:ascii="Arial" w:hAnsi="Arial" w:cs="Arial"/>
        </w:rPr>
        <w:t xml:space="preserve">emisión del fallo, una garantía </w:t>
      </w:r>
      <w:r w:rsidRPr="00887F36">
        <w:rPr>
          <w:rFonts w:ascii="Arial" w:hAnsi="Arial" w:cs="Arial"/>
        </w:rPr>
        <w:t xml:space="preserve">en moneda nacional </w:t>
      </w:r>
      <w:r w:rsidRPr="009437F8">
        <w:rPr>
          <w:rFonts w:ascii="Arial" w:hAnsi="Arial" w:cs="Arial"/>
        </w:rPr>
        <w:t xml:space="preserve">a favor de la Dirección de Finanzas de Pensiones Civiles 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por un importe equivalente al </w:t>
      </w:r>
      <w:r w:rsidRPr="001E29D2">
        <w:rPr>
          <w:rFonts w:ascii="Arial" w:hAnsi="Arial" w:cs="Arial"/>
        </w:rPr>
        <w:lastRenderedPageBreak/>
        <w:t xml:space="preserve">10% del importe máximo de la propuesta económica, sin incluir el I.V.A.,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 xml:space="preserve">II, de la Ley de Adquisiciones, Arrendamientos y Contratación de Servicios del Estado de Chihuahua,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4D3FD0" w:rsidRPr="004D3FD0">
        <w:rPr>
          <w:rFonts w:ascii="Arial" w:hAnsi="Arial" w:cs="Arial"/>
          <w:lang w:val="es-ES_tradnl"/>
        </w:rPr>
        <w:t>$ 300,000.00 (trescientos mil pesos 00/100 M.N.)</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VI.- INSTRUCCIONES PARA ELABORAR LAS PROPUESTAS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sidR="00FE5510">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 así como también original o copia certificada y copia simple de la identificación oficial de quien firma la propuesta</w:t>
      </w:r>
      <w:r w:rsidR="00635E12">
        <w:rPr>
          <w:rFonts w:ascii="Arial" w:hAnsi="Arial" w:cs="Arial"/>
        </w:rPr>
        <w:t xml:space="preserve"> (la identificación oficial original o copia certificada será devuelta en el acto de apertura de propuestas)</w:t>
      </w:r>
      <w:r w:rsidRPr="001E29D2">
        <w:rPr>
          <w:rFonts w:ascii="Arial" w:hAnsi="Arial" w:cs="Arial"/>
        </w:rPr>
        <w:t>.</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productos a ofertar, en hoja membretada y orden consecutivo (extraídos del </w:t>
      </w:r>
      <w:r w:rsidRPr="001E29D2">
        <w:rPr>
          <w:rFonts w:ascii="Arial" w:hAnsi="Arial" w:cs="Arial"/>
          <w:b/>
        </w:rPr>
        <w:t>“</w:t>
      </w:r>
      <w:r w:rsidRPr="001E29D2">
        <w:rPr>
          <w:rFonts w:ascii="Arial" w:hAnsi="Arial" w:cs="Arial"/>
          <w:b/>
          <w:lang w:val="es-ES_tradnl"/>
        </w:rPr>
        <w:t>ANEXO A”</w:t>
      </w:r>
      <w:r w:rsidRPr="001E29D2">
        <w:rPr>
          <w:rFonts w:ascii="Arial" w:hAnsi="Arial" w:cs="Arial"/>
          <w:lang w:val="es-ES_tradnl"/>
        </w:rPr>
        <w:t xml:space="preserve"> 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717346" w:rsidRDefault="00717346"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7. Anexo VI. </w:t>
      </w:r>
      <w:r w:rsidRPr="001E29D2">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8.</w:t>
      </w:r>
      <w:r w:rsidRPr="001E29D2">
        <w:rPr>
          <w:rFonts w:ascii="Arial" w:hAnsi="Arial" w:cs="Arial"/>
        </w:rPr>
        <w:t xml:space="preserve"> 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9730ED">
        <w:rPr>
          <w:rFonts w:ascii="Arial" w:hAnsi="Arial" w:cs="Arial"/>
        </w:rPr>
        <w:t>septiembre</w:t>
      </w:r>
      <w:r w:rsidRPr="001E29D2">
        <w:rPr>
          <w:rFonts w:ascii="Arial" w:hAnsi="Arial" w:cs="Arial"/>
        </w:rPr>
        <w:t xml:space="preserve"> de 2018 en donde acredite contar con el capital contable de </w:t>
      </w:r>
      <w:r w:rsidRPr="009730ED">
        <w:rPr>
          <w:rFonts w:ascii="Arial" w:hAnsi="Arial" w:cs="Arial"/>
        </w:rPr>
        <w:t xml:space="preserve">$ </w:t>
      </w:r>
      <w:r w:rsidR="007307C7" w:rsidRPr="009730ED">
        <w:rPr>
          <w:rFonts w:ascii="Arial" w:hAnsi="Arial" w:cs="Arial"/>
        </w:rPr>
        <w:t>30</w:t>
      </w:r>
      <w:r w:rsidRPr="009730ED">
        <w:rPr>
          <w:rFonts w:ascii="Arial" w:hAnsi="Arial" w:cs="Arial"/>
        </w:rPr>
        <w:t>´000,000.00 (</w:t>
      </w:r>
      <w:r w:rsidR="007307C7" w:rsidRPr="009730ED">
        <w:rPr>
          <w:rFonts w:ascii="Arial" w:hAnsi="Arial" w:cs="Arial"/>
        </w:rPr>
        <w:t>treinta</w:t>
      </w:r>
      <w:r w:rsidRPr="009730ED">
        <w:rPr>
          <w:rFonts w:ascii="Arial" w:hAnsi="Arial" w:cs="Arial"/>
        </w:rPr>
        <w:t xml:space="preserve"> millones de pesos 00/100 M.N.)</w:t>
      </w:r>
      <w:r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9.</w:t>
      </w:r>
      <w:r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10.</w:t>
      </w:r>
      <w:r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11.</w:t>
      </w:r>
      <w:r w:rsidRPr="001E29D2">
        <w:rPr>
          <w:rFonts w:ascii="Arial" w:hAnsi="Arial" w:cs="Arial"/>
        </w:rPr>
        <w:t xml:space="preserve"> Si el concursante ha celebrado o cuenta con contratos vigentes con dependencias u organismos de Gobierno del estado de Chihuahua, en materia de suministro de medicamentos, deberá exhibir </w:t>
      </w:r>
      <w:r w:rsidRPr="001E29D2">
        <w:rPr>
          <w:rFonts w:ascii="Arial" w:hAnsi="Arial" w:cs="Arial"/>
          <w:b/>
        </w:rPr>
        <w:t>relación completa y acompañar copia simple de al menos tres contratos de los años inmediatos anteriores</w:t>
      </w:r>
      <w:r w:rsidRPr="001E29D2">
        <w:rPr>
          <w:rFonts w:ascii="Arial" w:hAnsi="Arial" w:cs="Arial"/>
        </w:rPr>
        <w:t>. En caso de que cuente con contratos vigentes deberá exhibir</w:t>
      </w:r>
      <w:r w:rsidR="00B96C9F">
        <w:rPr>
          <w:rFonts w:ascii="Arial" w:hAnsi="Arial" w:cs="Arial"/>
        </w:rPr>
        <w:t xml:space="preserve"> además la </w:t>
      </w:r>
      <w:r w:rsidRPr="001E29D2">
        <w:rPr>
          <w:rFonts w:ascii="Arial" w:hAnsi="Arial" w:cs="Arial"/>
        </w:rPr>
        <w:t>constancia del ente contratante en que mencione si se encuentra al corriente de sus obligaciones contractuales.</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En caso de no haber celebrado anteriormente contratos en el ramo de medicamentos con organismos gubernamentales, o bien, no cuenta con contratos vigentes a la fecha, deberá presentar carta en el que manifieste bajo protesta de decir verdad tal situación.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12.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13. Carta compromiso</w:t>
      </w:r>
      <w:r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1E29D2" w:rsidRDefault="001E29D2" w:rsidP="001E29D2">
      <w:pPr>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lastRenderedPageBreak/>
        <w:t>c.</w:t>
      </w:r>
      <w:r w:rsidRPr="001E29D2">
        <w:rPr>
          <w:rFonts w:ascii="Arial" w:hAnsi="Arial" w:cs="Arial"/>
        </w:rPr>
        <w:t xml:space="preserve"> Que el precio unitario y los montos máximos y mínimos serán sostenidos y respetados durante el ejercicio 201</w:t>
      </w:r>
      <w:r w:rsidR="00B96C9F">
        <w:rPr>
          <w:rFonts w:ascii="Arial" w:hAnsi="Arial" w:cs="Arial"/>
        </w:rPr>
        <w:t>9</w:t>
      </w:r>
      <w:r w:rsidRPr="001E29D2">
        <w:rPr>
          <w:rFonts w:ascii="Arial" w:hAnsi="Arial" w:cs="Arial"/>
        </w:rPr>
        <w:t xml:space="preserve">, en base a los requerimientos que se hagan, ya sea mensual, quincenal o semanalmente. </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1E29D2">
        <w:rPr>
          <w:rFonts w:ascii="Arial" w:hAnsi="Arial" w:cs="Arial"/>
          <w:b/>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remanufacturados,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rsidR="001E29D2" w:rsidRPr="001E29D2" w:rsidRDefault="001E29D2" w:rsidP="001E29D2">
      <w:pPr>
        <w:numPr>
          <w:ilvl w:val="12"/>
          <w:numId w:val="0"/>
        </w:numPr>
        <w:ind w:left="567"/>
        <w:jc w:val="both"/>
        <w:rPr>
          <w:rFonts w:ascii="Arial" w:hAnsi="Arial" w:cs="Arial"/>
        </w:rPr>
      </w:pPr>
    </w:p>
    <w:p w:rsidR="001E29D2" w:rsidRPr="001E29D2" w:rsidRDefault="001E29D2" w:rsidP="001E29D2">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rsidR="001E29D2" w:rsidRPr="001E29D2" w:rsidRDefault="001E29D2" w:rsidP="001E29D2">
      <w:pPr>
        <w:numPr>
          <w:ilvl w:val="12"/>
          <w:numId w:val="0"/>
        </w:numPr>
        <w:ind w:left="567"/>
        <w:jc w:val="both"/>
        <w:rPr>
          <w:rFonts w:ascii="Arial" w:hAnsi="Arial" w:cs="Arial"/>
          <w:b/>
          <w:bCs/>
        </w:rPr>
      </w:pPr>
    </w:p>
    <w:p w:rsidR="001E29D2" w:rsidRPr="001E29D2" w:rsidRDefault="001E29D2" w:rsidP="001E29D2">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bioequivalencia del producto, y en caso de ofertar productos que requieren de ellos, deberá exhibir los certificados de dichos estudios.</w:t>
      </w:r>
    </w:p>
    <w:p w:rsidR="001E29D2" w:rsidRPr="001E29D2" w:rsidRDefault="001E29D2" w:rsidP="001E29D2">
      <w:pPr>
        <w:ind w:left="567"/>
        <w:jc w:val="both"/>
        <w:rPr>
          <w:rFonts w:ascii="Arial" w:hAnsi="Arial" w:cs="Arial"/>
          <w:bCs/>
        </w:rPr>
      </w:pPr>
    </w:p>
    <w:p w:rsidR="001E29D2" w:rsidRPr="001E29D2" w:rsidRDefault="001E29D2" w:rsidP="001E29D2">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rsidR="001E29D2" w:rsidRPr="001E29D2" w:rsidRDefault="001E29D2" w:rsidP="001E29D2">
      <w:pPr>
        <w:ind w:left="567"/>
        <w:jc w:val="both"/>
        <w:rPr>
          <w:rFonts w:ascii="Arial" w:hAnsi="Arial" w:cs="Arial"/>
        </w:rPr>
      </w:pPr>
    </w:p>
    <w:p w:rsidR="001E29D2" w:rsidRPr="001E29D2" w:rsidRDefault="001E29D2" w:rsidP="001E29D2">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rsidR="001E29D2" w:rsidRPr="001E29D2" w:rsidRDefault="001E29D2" w:rsidP="001E29D2">
      <w:pPr>
        <w:ind w:left="567"/>
        <w:jc w:val="both"/>
        <w:rPr>
          <w:rFonts w:ascii="Arial" w:hAnsi="Arial" w:cs="Arial"/>
          <w:b/>
          <w:highlight w:val="green"/>
        </w:rPr>
      </w:pPr>
    </w:p>
    <w:p w:rsidR="001E29D2" w:rsidRPr="001E29D2" w:rsidRDefault="001E29D2" w:rsidP="001E29D2">
      <w:pPr>
        <w:ind w:left="567"/>
        <w:jc w:val="both"/>
        <w:rPr>
          <w:rFonts w:ascii="Arial" w:hAnsi="Arial" w:cs="Arial"/>
        </w:rPr>
      </w:pPr>
      <w:r w:rsidRPr="001E29D2">
        <w:rPr>
          <w:rFonts w:ascii="Arial" w:hAnsi="Arial" w:cs="Arial"/>
          <w:b/>
        </w:rPr>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rsidR="001E29D2" w:rsidRPr="001E29D2" w:rsidRDefault="001E29D2" w:rsidP="001E29D2">
      <w:pPr>
        <w:ind w:left="567"/>
        <w:jc w:val="both"/>
        <w:rPr>
          <w:rFonts w:ascii="Arial" w:hAnsi="Arial" w:cs="Arial"/>
        </w:rPr>
      </w:pPr>
    </w:p>
    <w:p w:rsidR="001E29D2" w:rsidRPr="001E29D2" w:rsidRDefault="001E29D2" w:rsidP="001E29D2">
      <w:pPr>
        <w:ind w:left="567"/>
        <w:jc w:val="both"/>
        <w:rPr>
          <w:rFonts w:ascii="Arial" w:hAnsi="Arial" w:cs="Arial"/>
        </w:rPr>
      </w:pPr>
      <w:r w:rsidRPr="001E29D2">
        <w:rPr>
          <w:rFonts w:ascii="Arial" w:hAnsi="Arial" w:cs="Arial"/>
          <w:b/>
        </w:rPr>
        <w:t>n.</w:t>
      </w:r>
      <w:r w:rsidRPr="001E29D2">
        <w:rPr>
          <w:rFonts w:ascii="Arial" w:hAnsi="Arial" w:cs="Arial"/>
        </w:rPr>
        <w:t xml:space="preserve"> Que cuenten con Red Fría, para preservar las características y propiedades de los medicamentos.</w:t>
      </w:r>
    </w:p>
    <w:p w:rsidR="001E29D2" w:rsidRPr="001E29D2" w:rsidRDefault="001E29D2" w:rsidP="001E29D2">
      <w:pPr>
        <w:ind w:left="1418"/>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E29D2" w:rsidRPr="001E29D2" w:rsidRDefault="001E29D2" w:rsidP="001E29D2">
      <w:pPr>
        <w:ind w:left="1418"/>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14.</w:t>
      </w:r>
      <w:r w:rsidRPr="001E29D2">
        <w:rPr>
          <w:rFonts w:ascii="Arial" w:hAnsi="Arial" w:cs="Arial"/>
        </w:rPr>
        <w:t xml:space="preserve"> Presentar en medio electrónico (cd o usb) las fotografías a color de los envases de cada producto que esté ofertando en la licitación, a 6 caras o lados, siendo el nombre de cada archivo o fotografía la clave de PCE para su identificación, en formato jpg en tamaño 120 x 160 (pixeles) como mínimo.</w:t>
      </w:r>
      <w:r w:rsidRPr="001E29D2">
        <w:t xml:space="preserve"> </w:t>
      </w:r>
      <w:r w:rsidRPr="001E29D2">
        <w:rPr>
          <w:rFonts w:ascii="Arial" w:hAnsi="Arial" w:cs="Arial"/>
        </w:rPr>
        <w:t>La presentación que aparezca en la fotografía no podrá ser modificada.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15.</w:t>
      </w:r>
      <w:r w:rsidRPr="001E29D2">
        <w:rPr>
          <w:rFonts w:ascii="Arial" w:hAnsi="Arial" w:cs="Arial"/>
        </w:rPr>
        <w:t xml:space="preserve"> Copia del </w:t>
      </w:r>
      <w:r w:rsidRPr="001E29D2">
        <w:rPr>
          <w:rFonts w:ascii="Arial" w:hAnsi="Arial" w:cs="Arial"/>
          <w:b/>
        </w:rPr>
        <w:t xml:space="preserve">Registro Sanitario ante la Secretaría de Salud </w:t>
      </w:r>
      <w:r w:rsidRPr="001E29D2">
        <w:rPr>
          <w:rFonts w:ascii="Arial" w:hAnsi="Arial" w:cs="Arial"/>
        </w:rPr>
        <w:t xml:space="preserve">para la comercialización  de cada uno de los productos a licitar, de conformidad con los artículos 376 y 376 bis de la Ley General de Salud. Para aquellos proveedores que oferten las fórmulas lácteas, será suficiente presentar la autorización sanitaria (aviso de funcionamiento) obligada por la Secretaría de Salud, de acuerdo al artículo 198 de la Ley antes mencionada. </w:t>
      </w:r>
    </w:p>
    <w:p w:rsidR="001E29D2" w:rsidRPr="001E29D2" w:rsidRDefault="001E29D2" w:rsidP="001E29D2">
      <w:pPr>
        <w:ind w:left="1080"/>
        <w:jc w:val="both"/>
      </w:pPr>
    </w:p>
    <w:p w:rsidR="001E29D2" w:rsidRPr="001E29D2" w:rsidRDefault="001E29D2" w:rsidP="001E29D2">
      <w:pPr>
        <w:jc w:val="both"/>
        <w:rPr>
          <w:rFonts w:ascii="Arial" w:hAnsi="Arial" w:cs="Arial"/>
        </w:rPr>
      </w:pPr>
      <w:r w:rsidRPr="001E29D2">
        <w:rPr>
          <w:rFonts w:ascii="Arial" w:hAnsi="Arial" w:cs="Arial"/>
          <w:b/>
        </w:rPr>
        <w:t>16.</w:t>
      </w:r>
      <w:r w:rsidRPr="001E29D2">
        <w:rPr>
          <w:rFonts w:ascii="Arial" w:hAnsi="Arial" w:cs="Arial"/>
        </w:rPr>
        <w:t xml:space="preserve"> Copia de la </w:t>
      </w:r>
      <w:r w:rsidRPr="001E29D2">
        <w:rPr>
          <w:rFonts w:ascii="Arial" w:hAnsi="Arial" w:cs="Arial"/>
          <w:b/>
        </w:rPr>
        <w:t>Licencia Sanitario</w:t>
      </w:r>
      <w:r w:rsidRPr="001E29D2">
        <w:rPr>
          <w:rFonts w:ascii="Arial" w:hAnsi="Arial" w:cs="Arial"/>
        </w:rPr>
        <w:t xml:space="preserve"> </w:t>
      </w:r>
      <w:r w:rsidRPr="001E29D2">
        <w:rPr>
          <w:rFonts w:ascii="Arial" w:hAnsi="Arial" w:cs="Arial"/>
          <w:b/>
        </w:rPr>
        <w:t>vigente</w:t>
      </w:r>
      <w:r w:rsidRPr="001E29D2">
        <w:rPr>
          <w:rFonts w:ascii="Arial" w:hAnsi="Arial" w:cs="Arial"/>
        </w:rPr>
        <w:t xml:space="preserve"> ante la Secretaría de Salud, en el que le autorice la distribución de los bien que oferta en la presente licitación.  </w:t>
      </w:r>
    </w:p>
    <w:p w:rsidR="001E29D2" w:rsidRPr="001E29D2" w:rsidRDefault="001E29D2" w:rsidP="001E29D2">
      <w:pPr>
        <w:jc w:val="both"/>
      </w:pPr>
    </w:p>
    <w:p w:rsidR="00D63BD1" w:rsidRDefault="001E29D2" w:rsidP="001E29D2">
      <w:pPr>
        <w:jc w:val="both"/>
        <w:rPr>
          <w:rFonts w:ascii="Arial" w:hAnsi="Arial" w:cs="Arial"/>
        </w:rPr>
      </w:pPr>
      <w:r w:rsidRPr="001E29D2">
        <w:rPr>
          <w:rFonts w:ascii="Arial" w:hAnsi="Arial" w:cs="Arial"/>
          <w:b/>
        </w:rPr>
        <w:t>17.</w:t>
      </w:r>
      <w:r w:rsidRPr="001E29D2">
        <w:rPr>
          <w:rFonts w:ascii="Arial" w:hAnsi="Arial" w:cs="Arial"/>
        </w:rPr>
        <w:t xml:space="preserve"> </w:t>
      </w:r>
      <w:r w:rsidR="00D63BD1">
        <w:rPr>
          <w:rFonts w:ascii="Arial" w:hAnsi="Arial" w:cs="Arial"/>
        </w:rPr>
        <w:t xml:space="preserve">Carta de apoyo y capacidad para producir los bienes </w:t>
      </w:r>
      <w:r w:rsidR="00D63BD1" w:rsidRPr="00D63BD1">
        <w:rPr>
          <w:rFonts w:ascii="Arial" w:hAnsi="Arial" w:cs="Arial"/>
        </w:rPr>
        <w:t>de la empresa fabricante de los productos ofertados</w:t>
      </w:r>
      <w:r w:rsidR="00D63BD1">
        <w:rPr>
          <w:rFonts w:ascii="Arial" w:hAnsi="Arial" w:cs="Arial"/>
        </w:rPr>
        <w:t>, la cual deberá reunir los siguientes requisitos: estar dirigida a Pensiones Civiles del Estado de Chihuahua, señalar el número de licitación, señalar el número</w:t>
      </w:r>
      <w:r w:rsidR="003E05D0">
        <w:rPr>
          <w:rFonts w:ascii="Arial" w:hAnsi="Arial" w:cs="Arial"/>
        </w:rPr>
        <w:t xml:space="preserve"> o números de </w:t>
      </w:r>
      <w:r w:rsidR="00D63BD1">
        <w:rPr>
          <w:rFonts w:ascii="Arial" w:hAnsi="Arial" w:cs="Arial"/>
        </w:rPr>
        <w:t>las partidas</w:t>
      </w:r>
      <w:r w:rsidR="003E05D0">
        <w:rPr>
          <w:rFonts w:ascii="Arial" w:hAnsi="Arial" w:cs="Arial"/>
        </w:rPr>
        <w:t xml:space="preserve"> de los bienes solicitados, las cantidades que oferta y establecer que es </w:t>
      </w:r>
      <w:r w:rsidR="003E05D0" w:rsidRPr="00B96C9F">
        <w:rPr>
          <w:rFonts w:ascii="Arial" w:hAnsi="Arial" w:cs="Arial"/>
        </w:rPr>
        <w:t xml:space="preserve">fabricante de los bienes de los cuales brinda el apoyo y que cuenta con la capacidad de producción conforme a las cantidades que se solicita, por lo que cuenta con la capacidad de </w:t>
      </w:r>
      <w:r w:rsidR="00505B25" w:rsidRPr="00B96C9F">
        <w:rPr>
          <w:rFonts w:ascii="Arial" w:hAnsi="Arial" w:cs="Arial"/>
        </w:rPr>
        <w:t>respuesta para suministrar los bienes dentro de los plazos y condiciones que se establecen en la licitación.</w:t>
      </w:r>
      <w:r w:rsidR="00505B25">
        <w:rPr>
          <w:rFonts w:ascii="Arial" w:hAnsi="Arial" w:cs="Arial"/>
        </w:rPr>
        <w:t xml:space="preserve"> </w:t>
      </w:r>
    </w:p>
    <w:p w:rsidR="00505B25" w:rsidRDefault="00505B25" w:rsidP="001E29D2">
      <w:pPr>
        <w:jc w:val="both"/>
        <w:rPr>
          <w:rFonts w:ascii="Arial" w:hAnsi="Arial" w:cs="Arial"/>
        </w:rPr>
      </w:pPr>
    </w:p>
    <w:p w:rsidR="00F37700" w:rsidRPr="001E29D2" w:rsidRDefault="00F37700" w:rsidP="001E29D2">
      <w:pPr>
        <w:jc w:val="both"/>
        <w:rPr>
          <w:rFonts w:ascii="Arial" w:hAnsi="Arial" w:cs="Arial"/>
        </w:rPr>
      </w:pPr>
      <w:r w:rsidRPr="00B96C9F">
        <w:rPr>
          <w:rFonts w:ascii="Arial" w:hAnsi="Arial" w:cs="Arial"/>
          <w:b/>
        </w:rPr>
        <w:t>1</w:t>
      </w:r>
      <w:r w:rsidR="003E05D0" w:rsidRPr="00B96C9F">
        <w:rPr>
          <w:rFonts w:ascii="Arial" w:hAnsi="Arial" w:cs="Arial"/>
          <w:b/>
        </w:rPr>
        <w:t>8</w:t>
      </w:r>
      <w:r w:rsidRPr="00B96C9F">
        <w:rPr>
          <w:rFonts w:ascii="Arial" w:hAnsi="Arial" w:cs="Arial"/>
          <w:b/>
        </w:rPr>
        <w:t>.</w:t>
      </w:r>
      <w:r w:rsidRPr="00B96C9F">
        <w:rPr>
          <w:rFonts w:ascii="Arial" w:hAnsi="Arial" w:cs="Arial"/>
        </w:rPr>
        <w:t xml:space="preserve"> Bases de la Licitación Pública Presencial número PCE-LPP-00</w:t>
      </w:r>
      <w:r w:rsidR="0074596B">
        <w:rPr>
          <w:rFonts w:ascii="Arial" w:hAnsi="Arial" w:cs="Arial"/>
        </w:rPr>
        <w:t>1</w:t>
      </w:r>
      <w:r w:rsidRPr="00B96C9F">
        <w:rPr>
          <w:rFonts w:ascii="Arial" w:hAnsi="Arial" w:cs="Arial"/>
        </w:rPr>
        <w:t>-201</w:t>
      </w:r>
      <w:r w:rsidR="0074596B">
        <w:rPr>
          <w:rFonts w:ascii="Arial" w:hAnsi="Arial" w:cs="Arial"/>
        </w:rPr>
        <w:t>9</w:t>
      </w:r>
      <w:r w:rsidRPr="00B96C9F">
        <w:rPr>
          <w:rFonts w:ascii="Arial" w:hAnsi="Arial" w:cs="Arial"/>
        </w:rPr>
        <w:t xml:space="preserve"> debidamente firmada por el licitante o quien legalmente tenga facultades para ello.</w:t>
      </w:r>
      <w:r>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3E05D0" w:rsidP="001E29D2">
      <w:pPr>
        <w:jc w:val="both"/>
        <w:rPr>
          <w:rFonts w:ascii="Arial" w:hAnsi="Arial" w:cs="Arial"/>
          <w:b/>
        </w:rPr>
      </w:pPr>
      <w:r>
        <w:rPr>
          <w:rFonts w:ascii="Arial" w:hAnsi="Arial" w:cs="Arial"/>
          <w:b/>
        </w:rPr>
        <w:t>19</w:t>
      </w:r>
      <w:r w:rsidR="001E29D2" w:rsidRPr="001E29D2">
        <w:rPr>
          <w:rFonts w:ascii="Arial" w:hAnsi="Arial" w:cs="Arial"/>
          <w:b/>
        </w:rPr>
        <w:t>.</w:t>
      </w:r>
      <w:r w:rsidR="001E29D2" w:rsidRPr="001E29D2">
        <w:rPr>
          <w:rFonts w:ascii="Arial" w:hAnsi="Arial" w:cs="Arial"/>
        </w:rPr>
        <w:t xml:space="preserve"> Recibo de pago y copia simple donde conste que cubrió el pago para la participación de la presente licitación.</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requisitos señalados en los numerales  2, 3, 4, 5, 6 y 7 podrán ser presentados en los formatos incluidos en las bases, o bien transcribirse en papel membretado del participante, respetando su contenido.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1E29D2">
        <w:rPr>
          <w:rFonts w:ascii="Arial" w:hAnsi="Arial" w:cs="Arial"/>
          <w:b/>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lastRenderedPageBreak/>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Pr>
          <w:rFonts w:ascii="Arial" w:hAnsi="Arial" w:cs="Arial"/>
          <w:b/>
          <w:lang w:val="es-MX"/>
        </w:rPr>
        <w:t>VII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p>
    <w:p w:rsidR="001E29D2" w:rsidRPr="001E29D2" w:rsidRDefault="003A749E" w:rsidP="001E29D2">
      <w:pPr>
        <w:ind w:left="284" w:hanging="284"/>
        <w:jc w:val="both"/>
        <w:rPr>
          <w:rFonts w:ascii="Arial" w:hAnsi="Arial" w:cs="Arial"/>
          <w:b/>
          <w:lang w:val="es-MX"/>
        </w:rPr>
      </w:pPr>
      <w:r>
        <w:rPr>
          <w:rFonts w:ascii="Arial" w:hAnsi="Arial" w:cs="Arial"/>
          <w:b/>
          <w:lang w:val="es-MX"/>
        </w:rPr>
        <w:t>VIII</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rsidR="003A03CC" w:rsidRDefault="003A03CC" w:rsidP="001E29D2">
      <w:pPr>
        <w:jc w:val="both"/>
        <w:rPr>
          <w:rFonts w:ascii="Arial" w:hAnsi="Arial" w:cs="Arial"/>
        </w:rPr>
      </w:pPr>
    </w:p>
    <w:p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29D2" w:rsidRDefault="002904B2" w:rsidP="001E29D2">
      <w:pPr>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t>I</w:t>
      </w:r>
      <w:r w:rsidR="001E29D2"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PLAZO, LUGAR Y CONDICIONES DE ENTREGA.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Pr>
          <w:rFonts w:ascii="Arial" w:hAnsi="Arial" w:cs="Arial"/>
          <w:b/>
          <w:lang w:val="es-MX"/>
        </w:rPr>
        <w:t>quince</w:t>
      </w:r>
      <w:r w:rsidRPr="004F0936">
        <w:rPr>
          <w:rFonts w:ascii="Arial" w:hAnsi="Arial" w:cs="Arial"/>
          <w:b/>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En este último supuesto, se podrá adjudicar al segundo lugar más bajo en cada una de las partidas que conforman el contrato rescindido.</w:t>
      </w:r>
      <w:r w:rsidRPr="001E29D2">
        <w:rPr>
          <w:rFonts w:ascii="Arial" w:hAnsi="Arial" w:cs="Arial"/>
          <w:lang w:val="es-MX"/>
        </w:rPr>
        <w:t xml:space="preserve"> </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rsidR="001E29D2" w:rsidRPr="001E29D2" w:rsidRDefault="001E29D2" w:rsidP="001E29D2">
      <w:pPr>
        <w:jc w:val="both"/>
        <w:rPr>
          <w:rFonts w:ascii="Arial" w:hAnsi="Arial" w:cs="Arial"/>
        </w:rPr>
      </w:pP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1E29D2" w:rsidRPr="001E29D2" w:rsidRDefault="001E29D2" w:rsidP="001E29D2">
      <w:pPr>
        <w:jc w:val="both"/>
        <w:rPr>
          <w:rFonts w:ascii="Arial" w:hAnsi="Arial" w:cs="Arial"/>
        </w:rPr>
      </w:pPr>
    </w:p>
    <w:p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Pr="001E29D2">
        <w:rPr>
          <w:rFonts w:ascii="Arial" w:hAnsi="Arial" w:cs="Arial"/>
        </w:rPr>
        <w:t xml:space="preserve">, por </w:t>
      </w:r>
      <w:r w:rsidR="00C56C6C">
        <w:rPr>
          <w:rFonts w:ascii="Arial" w:hAnsi="Arial" w:cs="Arial"/>
        </w:rPr>
        <w:t>tal motivo se exige en el número 1</w:t>
      </w:r>
      <w:r w:rsidRPr="001E29D2">
        <w:rPr>
          <w:rFonts w:ascii="Arial" w:hAnsi="Arial" w:cs="Arial"/>
        </w:rPr>
        <w:t xml:space="preserve">7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INSTRUCCIONES PARA LLENAR PROPUESTAS, PROPUESTA TÉCNICA,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PENAS CONVENCIONALES, sin perjuicio de que el ente convocante pueda dar por rescindida administrativamente la clave y/o partida del contrato motivo del incumplimiento.   </w:t>
      </w:r>
    </w:p>
    <w:p w:rsidR="001E29D2" w:rsidRPr="001E29D2" w:rsidRDefault="001E29D2" w:rsidP="001E29D2">
      <w:pPr>
        <w:numPr>
          <w:ilvl w:val="12"/>
          <w:numId w:val="0"/>
        </w:num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Las partidas adjudicadas deberán utilizar empaque estándar tanto en su presentación individual como de volumen (almacenamiento de las presentaciones individuales), una vez que se realice la primera entrega.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XI.- CONDICIONES DE PAGO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Para la presente licitación no se otorgará anticipo.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III</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e).-</w:t>
      </w:r>
      <w:r w:rsidRPr="001E29D2">
        <w:rPr>
          <w:rFonts w:ascii="Arial" w:hAnsi="Arial" w:cs="Arial"/>
        </w:rPr>
        <w:t xml:space="preserve"> La presentación de más de una oferta por partida en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presupuesta, ya sea porque el costo está por arriba del mercado o evidentemente muy por abajo del mismo.</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w:t>
      </w:r>
      <w:r w:rsidR="003A749E">
        <w:rPr>
          <w:rFonts w:ascii="Arial" w:hAnsi="Arial" w:cs="Arial"/>
          <w:b/>
          <w:bCs/>
        </w:rPr>
        <w:t>I</w:t>
      </w:r>
      <w:r w:rsidRPr="001E29D2">
        <w:rPr>
          <w:rFonts w:ascii="Arial" w:hAnsi="Arial" w:cs="Arial"/>
          <w:b/>
          <w:bCs/>
        </w:rPr>
        <w:t>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XV.- DESISTIMIENTO</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highlight w:val="yellow"/>
        </w:rPr>
      </w:pPr>
      <w:r w:rsidRPr="001E29D2">
        <w:rPr>
          <w:rFonts w:ascii="Arial" w:hAnsi="Arial" w:cs="Arial"/>
        </w:rPr>
        <w:t xml:space="preserve">Es tácito cuando habiendo transcurrido los quince días de penalización por retraso en la entrega de los bienes, el proveedor sigue sin llevar a cabo el suministro de los bienes solicitados en la orden de compra que genera el incumplimiento, entendiéndose tal acto como la imposibilidad de cumplir con la obligación del suministro de los bienes. </w:t>
      </w:r>
      <w:r w:rsidRPr="001E29D2">
        <w:rPr>
          <w:rFonts w:ascii="Arial" w:hAnsi="Arial" w:cs="Arial"/>
          <w:highlight w:val="yellow"/>
        </w:rPr>
        <w:t xml:space="preserve">  </w:t>
      </w:r>
    </w:p>
    <w:p w:rsidR="001E29D2" w:rsidRPr="001E29D2" w:rsidRDefault="001E29D2" w:rsidP="001E29D2">
      <w:pPr>
        <w:jc w:val="both"/>
        <w:rPr>
          <w:rFonts w:ascii="Arial" w:hAnsi="Arial" w:cs="Arial"/>
          <w:highlight w:val="yellow"/>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Pr="001E29D2">
        <w:rPr>
          <w:rFonts w:ascii="Arial" w:hAnsi="Arial" w:cs="Arial"/>
          <w:b/>
        </w:rPr>
        <w:t>.- PENAS CONVENCIONALES</w:t>
      </w:r>
    </w:p>
    <w:p w:rsidR="001E29D2" w:rsidRPr="001E29D2" w:rsidRDefault="001E29D2" w:rsidP="001E29D2">
      <w:pPr>
        <w:jc w:val="both"/>
        <w:rPr>
          <w:rFonts w:ascii="Arial" w:hAnsi="Arial" w:cs="Arial"/>
          <w:b/>
        </w:rPr>
      </w:pPr>
    </w:p>
    <w:p w:rsidR="00D57249"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Pensiones Civiles del Estado de Chihuahua aplicará en caso de atraso de entrega de los bienes objeto de la licitación una pena convencional consistente en un 2% (dos por ciento) diario sobre el importe total de los bienes no entregados, </w:t>
      </w:r>
      <w:r w:rsidR="00E55FDA">
        <w:rPr>
          <w:rFonts w:ascii="Arial" w:hAnsi="Arial" w:cs="Arial"/>
        </w:rPr>
        <w:t xml:space="preserve">sin incluir </w:t>
      </w:r>
      <w:r w:rsidRPr="001E29D2">
        <w:rPr>
          <w:rFonts w:ascii="Arial" w:hAnsi="Arial" w:cs="Arial"/>
        </w:rPr>
        <w:t>el Impuesto al Valor Agregado,</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D57249">
        <w:rPr>
          <w:rFonts w:ascii="Arial" w:hAnsi="Arial" w:cs="Arial"/>
        </w:rPr>
        <w:t>, dicho</w:t>
      </w:r>
      <w:r w:rsidR="00D57249" w:rsidRPr="00D57249">
        <w:rPr>
          <w:rFonts w:ascii="Arial" w:hAnsi="Arial" w:cs="Arial"/>
        </w:rPr>
        <w:t xml:space="preserve"> retraso no podrá exceder de un plazo de quince días </w:t>
      </w:r>
      <w:r w:rsidR="00DA612F">
        <w:rPr>
          <w:rFonts w:ascii="Arial" w:hAnsi="Arial" w:cs="Arial"/>
        </w:rPr>
        <w:t>hábiles</w:t>
      </w:r>
      <w:r w:rsidR="00D57249">
        <w:rPr>
          <w:rFonts w:ascii="Arial" w:hAnsi="Arial" w:cs="Arial"/>
        </w:rPr>
        <w:t>.</w:t>
      </w:r>
    </w:p>
    <w:p w:rsidR="00D57249" w:rsidRDefault="00D57249"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Transcurridos los quince días sin que el licitante dé cumplimiento a la orden de compra realizada por la convocante, ésta </w:t>
      </w:r>
      <w:r w:rsidR="00D57249">
        <w:rPr>
          <w:rFonts w:ascii="Arial" w:hAnsi="Arial" w:cs="Arial"/>
        </w:rPr>
        <w:t xml:space="preserve">además de aplicar la pena convencional establecida en el párrafo siguiente, </w:t>
      </w:r>
      <w:r w:rsidRPr="001E29D2">
        <w:rPr>
          <w:rFonts w:ascii="Arial" w:hAnsi="Arial" w:cs="Arial"/>
        </w:rPr>
        <w:t xml:space="preserve">podrá dar por rescindido el contrato en su totalidad o solamente la clave y/o partida motivo del incumplimiento y, hacer efectiva la garantía de cumplimiento que garantiza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lastRenderedPageBreak/>
        <w:t>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medicamentos que se va a dejar de suministrar. Para calcular el monto de la pena, la convocante solicitará cotización a tres o más personas que puedan realizar el suministro del medicamento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P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DA612F">
        <w:rPr>
          <w:rFonts w:ascii="Arial" w:hAnsi="Arial" w:cs="Arial"/>
        </w:rPr>
        <w:t>16</w:t>
      </w:r>
      <w:r w:rsidRPr="001E29D2">
        <w:rPr>
          <w:rFonts w:ascii="Arial" w:hAnsi="Arial" w:cs="Arial"/>
        </w:rPr>
        <w:t xml:space="preserve"> de </w:t>
      </w:r>
      <w:r w:rsidR="00DA612F">
        <w:rPr>
          <w:rFonts w:ascii="Arial" w:hAnsi="Arial" w:cs="Arial"/>
        </w:rPr>
        <w:t>octubre</w:t>
      </w:r>
      <w:r w:rsidRPr="001E29D2">
        <w:rPr>
          <w:rFonts w:ascii="Arial" w:hAnsi="Arial" w:cs="Arial"/>
        </w:rPr>
        <w:t xml:space="preserve"> de 2018.</w:t>
      </w: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1E29D2" w:rsidTr="00FE5510">
        <w:trPr>
          <w:trHeight w:val="2885"/>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FE5510">
            <w:pPr>
              <w:jc w:val="center"/>
              <w:rPr>
                <w:rFonts w:ascii="Arial" w:hAnsi="Arial" w:cs="Arial"/>
              </w:rPr>
            </w:pPr>
            <w:r w:rsidRPr="001E29D2">
              <w:rPr>
                <w:rFonts w:ascii="Arial" w:hAnsi="Arial" w:cs="Arial"/>
                <w:b/>
                <w:lang w:val="es-MX"/>
              </w:rPr>
              <w:t>DE PENSIONES CIVILES DEL ESTADO</w:t>
            </w:r>
          </w:p>
        </w:tc>
      </w:tr>
      <w:tr w:rsidR="001E29D2" w:rsidRPr="001E29D2" w:rsidTr="00FE5510">
        <w:tc>
          <w:tcPr>
            <w:tcW w:w="4673" w:type="dxa"/>
          </w:tcPr>
          <w:p w:rsidR="001E29D2" w:rsidRPr="001E29D2" w:rsidRDefault="001E29D2" w:rsidP="001E29D2">
            <w:pPr>
              <w:jc w:val="center"/>
              <w:rPr>
                <w:rFonts w:ascii="Arial" w:hAnsi="Arial" w:cs="Arial"/>
                <w:b/>
              </w:rPr>
            </w:pPr>
            <w:r w:rsidRPr="001E29D2">
              <w:rPr>
                <w:rFonts w:ascii="Arial" w:hAnsi="Arial" w:cs="Arial"/>
                <w:b/>
              </w:rPr>
              <w:t>DIRECTORA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r w:rsidRPr="001E29D2">
              <w:rPr>
                <w:rFonts w:ascii="Arial" w:hAnsi="Arial" w:cs="Arial"/>
                <w:b/>
              </w:rPr>
              <w:t>DIRECTOR MÉDICO DE PENSIONES CIVILES DEL ESTADO</w:t>
            </w:r>
          </w:p>
          <w:p w:rsidR="001E29D2" w:rsidRPr="001E29D2" w:rsidRDefault="00FF6EDB" w:rsidP="001E29D2">
            <w:pPr>
              <w:jc w:val="center"/>
              <w:rPr>
                <w:rFonts w:ascii="Arial" w:hAnsi="Arial" w:cs="Arial"/>
                <w:b/>
                <w:color w:val="FF0000"/>
              </w:rPr>
            </w:pPr>
            <w:r>
              <w:rPr>
                <w:rFonts w:ascii="Arial" w:hAnsi="Arial" w:cs="Arial"/>
                <w:b/>
              </w:rPr>
              <w:t xml:space="preserve">VOCAL Y </w:t>
            </w:r>
            <w:r w:rsidR="001E29D2" w:rsidRPr="001E29D2">
              <w:rPr>
                <w:rFonts w:ascii="Arial" w:hAnsi="Arial" w:cs="Arial"/>
                <w:b/>
              </w:rPr>
              <w:t>REQUIRENTE</w:t>
            </w:r>
          </w:p>
        </w:tc>
      </w:tr>
      <w:tr w:rsidR="001E29D2" w:rsidRPr="001E29D2" w:rsidTr="00FE5510">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COORDINA</w:t>
            </w:r>
            <w:r w:rsidR="00FF6EDB">
              <w:rPr>
                <w:rFonts w:ascii="Arial" w:hAnsi="Arial" w:cs="Arial"/>
                <w:b/>
              </w:rPr>
              <w:t>DOR</w:t>
            </w:r>
            <w:r w:rsidRPr="001E29D2">
              <w:rPr>
                <w:rFonts w:ascii="Arial" w:hAnsi="Arial" w:cs="Arial"/>
                <w:b/>
              </w:rPr>
              <w:t xml:space="preserve"> JURÍDIC</w:t>
            </w:r>
            <w:r w:rsidR="00FF6EDB">
              <w:rPr>
                <w:rFonts w:ascii="Arial" w:hAnsi="Arial" w:cs="Arial"/>
                <w:b/>
              </w:rPr>
              <w:t>O</w:t>
            </w:r>
          </w:p>
          <w:p w:rsidR="001E29D2" w:rsidRPr="001E29D2" w:rsidRDefault="001E29D2" w:rsidP="001E29D2">
            <w:pPr>
              <w:jc w:val="center"/>
              <w:rPr>
                <w:rFonts w:ascii="Arial" w:hAnsi="Arial" w:cs="Arial"/>
              </w:rPr>
            </w:pPr>
            <w:r w:rsidRPr="001E29D2">
              <w:rPr>
                <w:rFonts w:ascii="Arial" w:hAnsi="Arial" w:cs="Arial"/>
                <w:b/>
              </w:rPr>
              <w:t>VOCAL</w:t>
            </w:r>
          </w:p>
        </w:tc>
      </w:tr>
    </w:tbl>
    <w:p w:rsidR="00E25129" w:rsidRPr="00FF02F9" w:rsidRDefault="00E25129" w:rsidP="001321E1">
      <w:pPr>
        <w:jc w:val="both"/>
        <w:rPr>
          <w:rFonts w:ascii="Arial" w:hAnsi="Arial" w:cs="Arial"/>
        </w:rPr>
      </w:pPr>
    </w:p>
    <w:sectPr w:rsidR="00E25129" w:rsidRPr="00FF02F9" w:rsidSect="00D55A04">
      <w:headerReference w:type="default" r:id="rId11"/>
      <w:footerReference w:type="even" r:id="rId12"/>
      <w:footerReference w:type="default" r:id="rId13"/>
      <w:pgSz w:w="12240" w:h="15840"/>
      <w:pgMar w:top="2127"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B6" w:rsidRDefault="00D022B6">
      <w:r>
        <w:separator/>
      </w:r>
    </w:p>
  </w:endnote>
  <w:endnote w:type="continuationSeparator" w:id="0">
    <w:p w:rsidR="00D022B6" w:rsidRDefault="00D0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F721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F721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4A581A">
      <w:rPr>
        <w:rStyle w:val="Nmerodepgina"/>
        <w:rFonts w:ascii="Arial" w:hAnsi="Arial" w:cs="Arial"/>
        <w:noProof/>
      </w:rPr>
      <w:t>2</w:t>
    </w:r>
    <w:r w:rsidRPr="00A70FBC">
      <w:rPr>
        <w:rStyle w:val="Nmerodepgina"/>
        <w:rFonts w:ascii="Arial" w:hAnsi="Arial" w:cs="Arial"/>
      </w:rPr>
      <w:fldChar w:fldCharType="end"/>
    </w:r>
  </w:p>
  <w:p w:rsidR="006A5C00" w:rsidRDefault="00C01500" w:rsidP="00C01500">
    <w:pPr>
      <w:pStyle w:val="Piedepgina"/>
      <w:ind w:right="360"/>
      <w:jc w:val="center"/>
      <w:rPr>
        <w:rFonts w:ascii="Arial" w:hAnsi="Arial" w:cs="Arial"/>
        <w:sz w:val="16"/>
        <w:szCs w:val="16"/>
      </w:rPr>
    </w:pPr>
    <w:r w:rsidRPr="00C01500">
      <w:rPr>
        <w:rFonts w:ascii="Arial" w:hAnsi="Arial" w:cs="Arial"/>
        <w:sz w:val="16"/>
        <w:szCs w:val="16"/>
      </w:rPr>
      <w:t>“201</w:t>
    </w:r>
    <w:r w:rsidR="006A5C00">
      <w:rPr>
        <w:rFonts w:ascii="Arial" w:hAnsi="Arial" w:cs="Arial"/>
        <w:sz w:val="16"/>
        <w:szCs w:val="16"/>
      </w:rPr>
      <w:t>8</w:t>
    </w:r>
    <w:r w:rsidRPr="00C01500">
      <w:rPr>
        <w:rFonts w:ascii="Arial" w:hAnsi="Arial" w:cs="Arial"/>
        <w:sz w:val="16"/>
        <w:szCs w:val="16"/>
      </w:rPr>
      <w:t>, Año del Centenario de</w:t>
    </w:r>
    <w:r w:rsidR="006A5C00">
      <w:rPr>
        <w:rFonts w:ascii="Arial" w:hAnsi="Arial" w:cs="Arial"/>
        <w:sz w:val="16"/>
        <w:szCs w:val="16"/>
      </w:rPr>
      <w:t>l Natalicio de José Fuentes Mares”</w:t>
    </w:r>
  </w:p>
  <w:p w:rsidR="000E4032" w:rsidRPr="00C01500" w:rsidRDefault="006A5C0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00C01500" w:rsidRPr="00C0150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B6" w:rsidRDefault="00D022B6">
      <w:r>
        <w:separator/>
      </w:r>
    </w:p>
  </w:footnote>
  <w:footnote w:type="continuationSeparator" w:id="0">
    <w:p w:rsidR="00D022B6" w:rsidRDefault="00D0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DA612F">
    <w:pPr>
      <w:pStyle w:val="Encabezado"/>
    </w:pPr>
    <w:r>
      <w:rPr>
        <w:noProof/>
        <w:lang w:val="es-MX" w:eastAsia="es-MX"/>
      </w:rPr>
      <w:drawing>
        <wp:anchor distT="0" distB="0" distL="114300" distR="114300" simplePos="0" relativeHeight="251661824" behindDoc="1" locked="0" layoutInCell="1" allowOverlap="1" wp14:anchorId="274EF28B" wp14:editId="1ABB77AB">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6886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21E1">
      <w:rPr>
        <w:noProof/>
        <w:lang w:val="es-MX" w:eastAsia="es-MX"/>
      </w:rPr>
      <w:drawing>
        <wp:anchor distT="0" distB="0" distL="114300" distR="114300" simplePos="0" relativeHeight="251657728" behindDoc="1" locked="0" layoutInCell="1" allowOverlap="1" wp14:anchorId="0559940B" wp14:editId="589127A9">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sidR="00170DE9">
      <w:rPr>
        <w:noProof/>
        <w:lang w:val="es-MX" w:eastAsia="es-MX"/>
      </w:rPr>
      <mc:AlternateContent>
        <mc:Choice Requires="wps">
          <w:drawing>
            <wp:anchor distT="0" distB="0" distL="114300" distR="114300" simplePos="0" relativeHeight="251659776" behindDoc="0" locked="0" layoutInCell="1" allowOverlap="1" wp14:anchorId="53AB6B0A" wp14:editId="7236470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-201</w:t>
                          </w:r>
                          <w:r w:rsidR="0016664C">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AB6B0A"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-201</w:t>
                    </w:r>
                    <w:r w:rsidR="0016664C">
                      <w:rPr>
                        <w:rFonts w:ascii="Arial" w:hAnsi="Arial"/>
                        <w:b/>
                        <w:color w:val="000000" w:themeColor="text1"/>
                        <w:lang w:val="es-MX"/>
                      </w:rPr>
                      <w:t>9</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B49"/>
    <w:rsid w:val="00034BF5"/>
    <w:rsid w:val="00034F11"/>
    <w:rsid w:val="00035DDD"/>
    <w:rsid w:val="00043506"/>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7E33"/>
    <w:rsid w:val="00080680"/>
    <w:rsid w:val="00080953"/>
    <w:rsid w:val="00082BD5"/>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FEA"/>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23FB"/>
    <w:rsid w:val="00263053"/>
    <w:rsid w:val="00264D94"/>
    <w:rsid w:val="002679AB"/>
    <w:rsid w:val="002712EB"/>
    <w:rsid w:val="002717A8"/>
    <w:rsid w:val="00272CC0"/>
    <w:rsid w:val="00273F84"/>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6790B"/>
    <w:rsid w:val="004707D4"/>
    <w:rsid w:val="0047619C"/>
    <w:rsid w:val="004766B3"/>
    <w:rsid w:val="00484D62"/>
    <w:rsid w:val="00485AEA"/>
    <w:rsid w:val="004866DA"/>
    <w:rsid w:val="0048723B"/>
    <w:rsid w:val="0049070C"/>
    <w:rsid w:val="004919B3"/>
    <w:rsid w:val="0049224F"/>
    <w:rsid w:val="00492283"/>
    <w:rsid w:val="004972AA"/>
    <w:rsid w:val="004A3F61"/>
    <w:rsid w:val="004A581A"/>
    <w:rsid w:val="004A665B"/>
    <w:rsid w:val="004A68EE"/>
    <w:rsid w:val="004A6AE4"/>
    <w:rsid w:val="004A6F70"/>
    <w:rsid w:val="004B15FB"/>
    <w:rsid w:val="004B1C2B"/>
    <w:rsid w:val="004B343F"/>
    <w:rsid w:val="004B6773"/>
    <w:rsid w:val="004B6D4C"/>
    <w:rsid w:val="004C4FAF"/>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EEF"/>
    <w:rsid w:val="0051478E"/>
    <w:rsid w:val="00516D09"/>
    <w:rsid w:val="0052099C"/>
    <w:rsid w:val="00523DFF"/>
    <w:rsid w:val="005251BA"/>
    <w:rsid w:val="00526E97"/>
    <w:rsid w:val="00530D05"/>
    <w:rsid w:val="0053353D"/>
    <w:rsid w:val="00534679"/>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D0E4B"/>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619CE"/>
    <w:rsid w:val="00663826"/>
    <w:rsid w:val="006648DD"/>
    <w:rsid w:val="00664E50"/>
    <w:rsid w:val="00666605"/>
    <w:rsid w:val="0066671C"/>
    <w:rsid w:val="00670DF5"/>
    <w:rsid w:val="006720F6"/>
    <w:rsid w:val="00675424"/>
    <w:rsid w:val="00676201"/>
    <w:rsid w:val="0068024B"/>
    <w:rsid w:val="00680918"/>
    <w:rsid w:val="00680B45"/>
    <w:rsid w:val="00682AF5"/>
    <w:rsid w:val="006852D6"/>
    <w:rsid w:val="006853B1"/>
    <w:rsid w:val="00685FF3"/>
    <w:rsid w:val="00686311"/>
    <w:rsid w:val="006866E8"/>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083E"/>
    <w:rsid w:val="006D23FD"/>
    <w:rsid w:val="006D3765"/>
    <w:rsid w:val="006D39BF"/>
    <w:rsid w:val="006D4444"/>
    <w:rsid w:val="006D4FE8"/>
    <w:rsid w:val="006D6EF3"/>
    <w:rsid w:val="006E1EFC"/>
    <w:rsid w:val="006E3664"/>
    <w:rsid w:val="006E5C77"/>
    <w:rsid w:val="006E6C15"/>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7346"/>
    <w:rsid w:val="0071740C"/>
    <w:rsid w:val="00720B1B"/>
    <w:rsid w:val="0072157D"/>
    <w:rsid w:val="00721AAE"/>
    <w:rsid w:val="007237BE"/>
    <w:rsid w:val="00727D13"/>
    <w:rsid w:val="007301CB"/>
    <w:rsid w:val="007307C7"/>
    <w:rsid w:val="00730F5E"/>
    <w:rsid w:val="00731039"/>
    <w:rsid w:val="00731292"/>
    <w:rsid w:val="007335DA"/>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683"/>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7F36"/>
    <w:rsid w:val="00894F3C"/>
    <w:rsid w:val="0089688A"/>
    <w:rsid w:val="00896A60"/>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110A8"/>
    <w:rsid w:val="00911ED0"/>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330"/>
    <w:rsid w:val="009675D3"/>
    <w:rsid w:val="009711D0"/>
    <w:rsid w:val="00971A0F"/>
    <w:rsid w:val="009730ED"/>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049"/>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05F83"/>
    <w:rsid w:val="00B11414"/>
    <w:rsid w:val="00B11823"/>
    <w:rsid w:val="00B123F9"/>
    <w:rsid w:val="00B13978"/>
    <w:rsid w:val="00B173FF"/>
    <w:rsid w:val="00B23C4F"/>
    <w:rsid w:val="00B23E2C"/>
    <w:rsid w:val="00B26C8C"/>
    <w:rsid w:val="00B27737"/>
    <w:rsid w:val="00B30260"/>
    <w:rsid w:val="00B3379C"/>
    <w:rsid w:val="00B34D1F"/>
    <w:rsid w:val="00B37BFA"/>
    <w:rsid w:val="00B4020B"/>
    <w:rsid w:val="00B4049E"/>
    <w:rsid w:val="00B40561"/>
    <w:rsid w:val="00B41881"/>
    <w:rsid w:val="00B4360E"/>
    <w:rsid w:val="00B46101"/>
    <w:rsid w:val="00B47B53"/>
    <w:rsid w:val="00B47EE9"/>
    <w:rsid w:val="00B51BC6"/>
    <w:rsid w:val="00B52797"/>
    <w:rsid w:val="00B529CA"/>
    <w:rsid w:val="00B53E83"/>
    <w:rsid w:val="00B54A35"/>
    <w:rsid w:val="00B551D6"/>
    <w:rsid w:val="00B55680"/>
    <w:rsid w:val="00B57B17"/>
    <w:rsid w:val="00B63A69"/>
    <w:rsid w:val="00B661AC"/>
    <w:rsid w:val="00B67C3B"/>
    <w:rsid w:val="00B71777"/>
    <w:rsid w:val="00B72B7D"/>
    <w:rsid w:val="00B7532F"/>
    <w:rsid w:val="00B7578C"/>
    <w:rsid w:val="00B825B0"/>
    <w:rsid w:val="00B82AC7"/>
    <w:rsid w:val="00B83015"/>
    <w:rsid w:val="00B840BD"/>
    <w:rsid w:val="00B864B0"/>
    <w:rsid w:val="00B86E1E"/>
    <w:rsid w:val="00B90687"/>
    <w:rsid w:val="00B907EF"/>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689A"/>
    <w:rsid w:val="00BD7255"/>
    <w:rsid w:val="00BD7D5C"/>
    <w:rsid w:val="00BE01D3"/>
    <w:rsid w:val="00BE131A"/>
    <w:rsid w:val="00BE1F57"/>
    <w:rsid w:val="00BE287D"/>
    <w:rsid w:val="00BE4572"/>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C0A"/>
    <w:rsid w:val="00CC2298"/>
    <w:rsid w:val="00CC22CA"/>
    <w:rsid w:val="00CC2E81"/>
    <w:rsid w:val="00CC537A"/>
    <w:rsid w:val="00CC6205"/>
    <w:rsid w:val="00CC78DB"/>
    <w:rsid w:val="00CD046F"/>
    <w:rsid w:val="00CD70C4"/>
    <w:rsid w:val="00CD7A0D"/>
    <w:rsid w:val="00CE0EE4"/>
    <w:rsid w:val="00CE39F0"/>
    <w:rsid w:val="00CE5527"/>
    <w:rsid w:val="00CE6E8D"/>
    <w:rsid w:val="00CE7F25"/>
    <w:rsid w:val="00CF2694"/>
    <w:rsid w:val="00CF2FEE"/>
    <w:rsid w:val="00CF79CF"/>
    <w:rsid w:val="00D0000B"/>
    <w:rsid w:val="00D011DD"/>
    <w:rsid w:val="00D02115"/>
    <w:rsid w:val="00D022B6"/>
    <w:rsid w:val="00D02619"/>
    <w:rsid w:val="00D033AF"/>
    <w:rsid w:val="00D05174"/>
    <w:rsid w:val="00D05512"/>
    <w:rsid w:val="00D07BCF"/>
    <w:rsid w:val="00D10CDC"/>
    <w:rsid w:val="00D11C9E"/>
    <w:rsid w:val="00D1408E"/>
    <w:rsid w:val="00D14BF3"/>
    <w:rsid w:val="00D152A3"/>
    <w:rsid w:val="00D164A4"/>
    <w:rsid w:val="00D16D44"/>
    <w:rsid w:val="00D20255"/>
    <w:rsid w:val="00D20936"/>
    <w:rsid w:val="00D24170"/>
    <w:rsid w:val="00D268C8"/>
    <w:rsid w:val="00D30A6D"/>
    <w:rsid w:val="00D32F37"/>
    <w:rsid w:val="00D33802"/>
    <w:rsid w:val="00D340F5"/>
    <w:rsid w:val="00D349A9"/>
    <w:rsid w:val="00D36C12"/>
    <w:rsid w:val="00D37964"/>
    <w:rsid w:val="00D37A36"/>
    <w:rsid w:val="00D37CCB"/>
    <w:rsid w:val="00D37E49"/>
    <w:rsid w:val="00D37FC3"/>
    <w:rsid w:val="00D40C58"/>
    <w:rsid w:val="00D42FD4"/>
    <w:rsid w:val="00D43380"/>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C342B"/>
    <w:rsid w:val="00DC4068"/>
    <w:rsid w:val="00DC4962"/>
    <w:rsid w:val="00DC4FA9"/>
    <w:rsid w:val="00DC6717"/>
    <w:rsid w:val="00DC78D2"/>
    <w:rsid w:val="00DC7D63"/>
    <w:rsid w:val="00DD1057"/>
    <w:rsid w:val="00DD220A"/>
    <w:rsid w:val="00DD3AAB"/>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B5A"/>
    <w:rsid w:val="00E22C8D"/>
    <w:rsid w:val="00E2376B"/>
    <w:rsid w:val="00E23CE6"/>
    <w:rsid w:val="00E2426D"/>
    <w:rsid w:val="00E25129"/>
    <w:rsid w:val="00E254D9"/>
    <w:rsid w:val="00E261AE"/>
    <w:rsid w:val="00E317BB"/>
    <w:rsid w:val="00E335B9"/>
    <w:rsid w:val="00E33B3F"/>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6B7D"/>
    <w:rsid w:val="00EB6C61"/>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4F24"/>
    <w:rsid w:val="00F95A5C"/>
    <w:rsid w:val="00F969DC"/>
    <w:rsid w:val="00F96C65"/>
    <w:rsid w:val="00F97759"/>
    <w:rsid w:val="00F97A3F"/>
    <w:rsid w:val="00FA0D9C"/>
    <w:rsid w:val="00FA2F13"/>
    <w:rsid w:val="00FA3DDE"/>
    <w:rsid w:val="00FA582C"/>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9F3BAD-9532-4B8E-99D6-F72BF8D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manuel.hinojos@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3324-CB79-4BA4-A3C7-37CDE3E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6629</Words>
  <Characters>36463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43006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Sandra Elena Piñon Muñoz</cp:lastModifiedBy>
  <cp:revision>2</cp:revision>
  <cp:lastPrinted>2018-10-16T20:27:00Z</cp:lastPrinted>
  <dcterms:created xsi:type="dcterms:W3CDTF">2018-10-22T15:38:00Z</dcterms:created>
  <dcterms:modified xsi:type="dcterms:W3CDTF">2018-10-22T15:38:00Z</dcterms:modified>
</cp:coreProperties>
</file>